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1A" w:rsidRDefault="006B331A" w:rsidP="006B331A">
      <w:pPr>
        <w:pStyle w:val="Title"/>
      </w:pPr>
      <w:r>
        <w:t>ANNUAL NOTICE TO EMPLOYEE</w:t>
      </w:r>
    </w:p>
    <w:p w:rsidR="006B331A" w:rsidRDefault="006B331A" w:rsidP="006B331A">
      <w:pPr>
        <w:jc w:val="center"/>
        <w:rPr>
          <w:b/>
          <w:bCs/>
        </w:rPr>
      </w:pPr>
      <w:r>
        <w:rPr>
          <w:b/>
          <w:bCs/>
        </w:rPr>
        <w:t xml:space="preserve">REGARDING THE </w:t>
      </w:r>
    </w:p>
    <w:p w:rsidR="006B331A" w:rsidRDefault="006B331A" w:rsidP="006B331A">
      <w:pPr>
        <w:jc w:val="center"/>
        <w:rPr>
          <w:b/>
          <w:bCs/>
        </w:rPr>
      </w:pPr>
      <w:r>
        <w:rPr>
          <w:b/>
          <w:bCs/>
        </w:rPr>
        <w:t>AMHERST EXEMPTED VILLAGE SCHOOL DISTRICT</w:t>
      </w:r>
    </w:p>
    <w:p w:rsidR="006B331A" w:rsidRDefault="006B331A" w:rsidP="006B331A">
      <w:pPr>
        <w:jc w:val="center"/>
        <w:rPr>
          <w:b/>
          <w:bCs/>
        </w:rPr>
      </w:pPr>
      <w:r>
        <w:rPr>
          <w:b/>
          <w:bCs/>
        </w:rPr>
        <w:t>SECTION 403(B) AND/OR 457 PLAN</w:t>
      </w:r>
    </w:p>
    <w:p w:rsidR="00A56788" w:rsidRDefault="00A56788" w:rsidP="006B331A">
      <w:pPr>
        <w:jc w:val="center"/>
        <w:rPr>
          <w:b/>
          <w:bCs/>
        </w:rPr>
      </w:pPr>
    </w:p>
    <w:p w:rsidR="006B331A" w:rsidRDefault="006B331A" w:rsidP="006B331A">
      <w:pPr>
        <w:pStyle w:val="BodyText"/>
      </w:pPr>
      <w:r>
        <w:tab/>
        <w:t>As an employee of the Amherst Exempted Village School District, you are eligible to participate in the Amherst Exempted Village School District Section 403(b) and/or 457 Plan (the “Plan”). The Plan permits you to elect to defer a portion of your salary or wages on a pre-tax basis.</w:t>
      </w:r>
    </w:p>
    <w:p w:rsidR="006B331A" w:rsidRDefault="006B331A" w:rsidP="006B331A">
      <w:pPr>
        <w:pStyle w:val="BodyText"/>
      </w:pPr>
    </w:p>
    <w:p w:rsidR="006B331A" w:rsidRDefault="006B331A" w:rsidP="006B331A">
      <w:r>
        <w:tab/>
        <w:t xml:space="preserve">This annual notice is a reminder that the Plan is available to you. You should have previously received a more detailed Employee Summary of the terms of the Plan. Please contact the Treasurer’s office if you would like to defer compensation under the Plan, or would like to change the amount that you are deferring under the Plan.  In </w:t>
      </w:r>
      <w:r>
        <w:rPr>
          <w:b/>
        </w:rPr>
        <w:t>2016</w:t>
      </w:r>
      <w:r>
        <w:t xml:space="preserve">, the general limitation on deferral under the Plan is </w:t>
      </w:r>
      <w:r>
        <w:rPr>
          <w:b/>
          <w:bCs/>
        </w:rPr>
        <w:t>$18,000.00</w:t>
      </w:r>
      <w:r>
        <w:t xml:space="preserve"> and the Age 50 Contribution Limit is an additional </w:t>
      </w:r>
      <w:r>
        <w:rPr>
          <w:b/>
          <w:bCs/>
        </w:rPr>
        <w:t>$6,000.00</w:t>
      </w:r>
      <w:r>
        <w:t xml:space="preserve">. The total contribution limit per year to the 403(b) </w:t>
      </w:r>
      <w:r>
        <w:rPr>
          <w:b/>
        </w:rPr>
        <w:t>AND</w:t>
      </w:r>
      <w:r>
        <w:t xml:space="preserve"> 457 is </w:t>
      </w:r>
      <w:r>
        <w:rPr>
          <w:b/>
        </w:rPr>
        <w:t>$24,000.00</w:t>
      </w:r>
      <w:r>
        <w:t xml:space="preserve"> each.</w:t>
      </w:r>
    </w:p>
    <w:p w:rsidR="006B331A" w:rsidRDefault="006B331A" w:rsidP="006B331A"/>
    <w:p w:rsidR="006B331A" w:rsidRDefault="006B331A" w:rsidP="006B331A">
      <w:r>
        <w:tab/>
        <w:t>Also, please contact the Treasurer’s office if you would like another copy of the Employee Summary of the Plan, a list of Plan Providers, a Salary Reduction Agreement, or have any other questions about the Plan. The Treasurer’s office also can provide you with a copy of the Plan document.</w:t>
      </w:r>
    </w:p>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 w:rsidR="006B331A" w:rsidRDefault="006B331A" w:rsidP="006B331A">
      <w:pPr>
        <w:pStyle w:val="Title"/>
      </w:pPr>
    </w:p>
    <w:p w:rsidR="006B331A" w:rsidRDefault="006B331A"/>
    <w:tbl>
      <w:tblPr>
        <w:tblW w:w="5000" w:type="pct"/>
        <w:tblCellSpacing w:w="15" w:type="dxa"/>
        <w:tblCellMar>
          <w:top w:w="15" w:type="dxa"/>
          <w:left w:w="15" w:type="dxa"/>
          <w:bottom w:w="15" w:type="dxa"/>
          <w:right w:w="15" w:type="dxa"/>
        </w:tblCellMar>
        <w:tblLook w:val="04A0"/>
      </w:tblPr>
      <w:tblGrid>
        <w:gridCol w:w="6927"/>
        <w:gridCol w:w="1254"/>
        <w:gridCol w:w="1269"/>
      </w:tblGrid>
      <w:tr w:rsidR="00023445" w:rsidRPr="00023445" w:rsidTr="00023445">
        <w:trPr>
          <w:tblHeade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
                <w:bCs/>
                <w:color w:val="333333"/>
                <w:sz w:val="24"/>
                <w:szCs w:val="24"/>
              </w:rPr>
            </w:pPr>
            <w:r>
              <w:rPr>
                <w:rFonts w:ascii="Tahoma" w:eastAsia="Times New Roman" w:hAnsi="Tahoma" w:cs="Tahoma"/>
                <w:b/>
                <w:bCs/>
                <w:color w:val="333333"/>
                <w:sz w:val="24"/>
                <w:szCs w:val="24"/>
              </w:rPr>
              <w:t>2016 IRS CONTRIBUTION LIMITS:</w:t>
            </w:r>
          </w:p>
          <w:p w:rsidR="00023445" w:rsidRPr="00023445" w:rsidRDefault="00023445" w:rsidP="00023445">
            <w:pPr>
              <w:ind w:left="0" w:firstLine="0"/>
              <w:jc w:val="left"/>
              <w:rPr>
                <w:rFonts w:ascii="Tahoma" w:eastAsia="Times New Roman" w:hAnsi="Tahoma" w:cs="Tahoma"/>
                <w:color w:val="333333"/>
                <w:sz w:val="24"/>
                <w:szCs w:val="24"/>
              </w:rPr>
            </w:pPr>
          </w:p>
        </w:tc>
        <w:tc>
          <w:tcPr>
            <w:tcW w:w="0" w:type="auto"/>
            <w:vAlign w:val="center"/>
            <w:hideMark/>
          </w:tcPr>
          <w:p w:rsidR="00023445" w:rsidRPr="00023445" w:rsidRDefault="00023445" w:rsidP="00023445">
            <w:pPr>
              <w:ind w:left="0" w:firstLine="0"/>
              <w:jc w:val="left"/>
              <w:rPr>
                <w:rFonts w:ascii="Tahoma" w:eastAsia="Times New Roman" w:hAnsi="Tahoma" w:cs="Tahoma"/>
                <w:b/>
                <w:color w:val="333333"/>
                <w:sz w:val="24"/>
                <w:szCs w:val="24"/>
              </w:rPr>
            </w:pPr>
            <w:r w:rsidRPr="00023445">
              <w:rPr>
                <w:rFonts w:ascii="Tahoma" w:eastAsia="Times New Roman" w:hAnsi="Tahoma" w:cs="Tahoma"/>
                <w:b/>
                <w:color w:val="333333"/>
                <w:sz w:val="24"/>
                <w:szCs w:val="24"/>
              </w:rPr>
              <w:t xml:space="preserve">      2016           </w:t>
            </w:r>
          </w:p>
        </w:tc>
        <w:tc>
          <w:tcPr>
            <w:tcW w:w="648" w:type="pct"/>
            <w:vAlign w:val="center"/>
            <w:hideMark/>
          </w:tcPr>
          <w:p w:rsidR="00023445" w:rsidRPr="00023445" w:rsidRDefault="00023445" w:rsidP="00023445">
            <w:pPr>
              <w:ind w:left="0" w:firstLine="0"/>
              <w:jc w:val="left"/>
              <w:rPr>
                <w:rFonts w:ascii="Tahoma" w:eastAsia="Times New Roman" w:hAnsi="Tahoma" w:cs="Tahoma"/>
                <w:b/>
                <w:color w:val="333333"/>
                <w:sz w:val="24"/>
                <w:szCs w:val="24"/>
              </w:rPr>
            </w:pPr>
            <w:r w:rsidRPr="00023445">
              <w:rPr>
                <w:rFonts w:ascii="Tahoma" w:eastAsia="Times New Roman" w:hAnsi="Tahoma" w:cs="Tahoma"/>
                <w:b/>
                <w:color w:val="333333"/>
                <w:sz w:val="24"/>
                <w:szCs w:val="24"/>
              </w:rPr>
              <w:t xml:space="preserve">        2015</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r w:rsidRPr="00023445">
              <w:rPr>
                <w:rFonts w:ascii="Tahoma" w:eastAsia="Times New Roman" w:hAnsi="Tahoma" w:cs="Tahoma"/>
                <w:bCs/>
                <w:color w:val="333333"/>
                <w:sz w:val="24"/>
                <w:szCs w:val="24"/>
              </w:rPr>
              <w:t>Elective Deferrals (401(k) and 403(b); not including adjustments and catch-ups)</w:t>
            </w:r>
          </w:p>
          <w:p w:rsidR="00023445" w:rsidRPr="00023445" w:rsidRDefault="00023445" w:rsidP="00023445">
            <w:pPr>
              <w:ind w:left="0" w:firstLine="0"/>
              <w:jc w:val="left"/>
              <w:rPr>
                <w:rFonts w:ascii="Tahoma" w:eastAsia="Times New Roman" w:hAnsi="Tahoma" w:cs="Tahoma"/>
                <w:color w:val="333333"/>
                <w:sz w:val="24"/>
                <w:szCs w:val="24"/>
              </w:rPr>
            </w:pP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$18,000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$18,000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r w:rsidRPr="00023445">
              <w:rPr>
                <w:rFonts w:ascii="Tahoma" w:eastAsia="Times New Roman" w:hAnsi="Tahoma" w:cs="Tahoma"/>
                <w:bCs/>
                <w:color w:val="333333"/>
                <w:sz w:val="24"/>
                <w:szCs w:val="24"/>
              </w:rPr>
              <w:t>457(b)(2) and 457(c)(1) Limits (not including catch-ups)</w:t>
            </w:r>
          </w:p>
          <w:p w:rsidR="00023445" w:rsidRPr="00023445" w:rsidRDefault="00023445" w:rsidP="00023445">
            <w:pPr>
              <w:ind w:left="0" w:firstLine="0"/>
              <w:jc w:val="left"/>
              <w:rPr>
                <w:rFonts w:ascii="Tahoma" w:eastAsia="Times New Roman" w:hAnsi="Tahoma" w:cs="Tahoma"/>
                <w:color w:val="333333"/>
                <w:sz w:val="24"/>
                <w:szCs w:val="24"/>
              </w:rPr>
            </w:pP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$18,000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$18,000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Section 414(v) Catch-Up Deferrals to 401(k), 403(b), 457(b), or SARSEP Plans</w:t>
            </w:r>
            <w:r w:rsidRPr="00023445">
              <w:rPr>
                <w:rFonts w:ascii="Tahoma" w:eastAsia="Times New Roman" w:hAnsi="Tahoma" w:cs="Tahoma"/>
                <w:color w:val="333333"/>
                <w:sz w:val="24"/>
                <w:szCs w:val="24"/>
              </w:rPr>
              <w:t xml:space="preserve"> </w:t>
            </w:r>
          </w:p>
          <w:p w:rsidR="00023445" w:rsidRPr="00023445" w:rsidRDefault="00023445" w:rsidP="00023445">
            <w:pPr>
              <w:ind w:left="0" w:firstLine="0"/>
              <w:jc w:val="left"/>
              <w:rPr>
                <w:rFonts w:ascii="Tahoma" w:eastAsia="Times New Roman" w:hAnsi="Tahoma" w:cs="Tahoma"/>
                <w:color w:val="333333"/>
                <w:sz w:val="24"/>
                <w:szCs w:val="24"/>
              </w:rPr>
            </w:pP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$6,000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$6,000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Defined Benefit Plans</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$210,000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$210,000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p>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Defined Contribution Plans (annual additions limit)</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$53,000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$53,000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p>
          <w:p w:rsidR="00023445" w:rsidRPr="00023445" w:rsidRDefault="00023445" w:rsidP="00023445">
            <w:pPr>
              <w:ind w:left="0" w:firstLine="0"/>
              <w:jc w:val="left"/>
              <w:rPr>
                <w:rFonts w:ascii="Tahoma" w:eastAsia="Times New Roman" w:hAnsi="Tahoma" w:cs="Tahoma"/>
                <w:bCs/>
                <w:color w:val="333333"/>
                <w:sz w:val="24"/>
                <w:szCs w:val="24"/>
              </w:rPr>
            </w:pPr>
            <w:r w:rsidRPr="00023445">
              <w:rPr>
                <w:rFonts w:ascii="Tahoma" w:eastAsia="Times New Roman" w:hAnsi="Tahoma" w:cs="Tahoma"/>
                <w:bCs/>
                <w:color w:val="333333"/>
                <w:sz w:val="24"/>
                <w:szCs w:val="24"/>
              </w:rPr>
              <w:t>Annual Compensation Limit</w:t>
            </w:r>
          </w:p>
          <w:p w:rsidR="00023445" w:rsidRPr="00023445" w:rsidRDefault="00023445" w:rsidP="00023445">
            <w:pPr>
              <w:ind w:left="0" w:firstLine="0"/>
              <w:jc w:val="left"/>
              <w:rPr>
                <w:rFonts w:ascii="Tahoma" w:eastAsia="Times New Roman" w:hAnsi="Tahoma" w:cs="Tahoma"/>
                <w:color w:val="333333"/>
                <w:sz w:val="24"/>
                <w:szCs w:val="24"/>
              </w:rPr>
            </w:pP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$265,000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$265,000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color w:val="333333"/>
                <w:sz w:val="24"/>
                <w:szCs w:val="24"/>
              </w:rPr>
            </w:pP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Highly Compensated Employee (“HCEs”)</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$120,000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$120,000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p>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Individual Retirement Accounts (“IRAs”), for individuals 49 and below</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$5,500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$5,500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p>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Individual Retirement Accounts (“IRAs”), for individuals 50 and above</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$6,500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$6,500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p>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SIMPLE Retirement Accounts</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$12,500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$12,500</w:t>
            </w:r>
          </w:p>
        </w:tc>
      </w:tr>
      <w:tr w:rsidR="00023445" w:rsidRPr="00023445" w:rsidTr="00023445">
        <w:trPr>
          <w:trHeight w:val="78"/>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color w:val="333333"/>
                <w:sz w:val="24"/>
                <w:szCs w:val="24"/>
              </w:rPr>
            </w:pP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SEP Compensation</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$265,000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$265,000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p>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Tax Credit ESOP Maximum Balance</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$1,070,000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$1,070,000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p>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Amount for Lengthening of 5-Year ESOP Period</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$210,000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$210,000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p>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Maximum Amount for Qualified Longevity Annuity Contract Purchases</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$125,000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$125,000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bCs/>
                <w:color w:val="333333"/>
                <w:sz w:val="24"/>
                <w:szCs w:val="24"/>
              </w:rPr>
            </w:pPr>
          </w:p>
          <w:p w:rsidR="00023445" w:rsidRPr="00023445" w:rsidRDefault="00023445" w:rsidP="00023445">
            <w:pPr>
              <w:ind w:left="0" w:firstLine="0"/>
              <w:jc w:val="left"/>
              <w:rPr>
                <w:rFonts w:ascii="Tahoma" w:eastAsia="Times New Roman" w:hAnsi="Tahoma" w:cs="Tahoma"/>
                <w:color w:val="333333"/>
                <w:sz w:val="24"/>
                <w:szCs w:val="24"/>
              </w:rPr>
            </w:pPr>
            <w:r w:rsidRPr="00023445">
              <w:rPr>
                <w:rFonts w:ascii="Tahoma" w:eastAsia="Times New Roman" w:hAnsi="Tahoma" w:cs="Tahoma"/>
                <w:bCs/>
                <w:color w:val="333333"/>
                <w:sz w:val="24"/>
                <w:szCs w:val="24"/>
              </w:rPr>
              <w:t>Income Subject to Social Security Tax</w:t>
            </w:r>
          </w:p>
        </w:tc>
        <w:tc>
          <w:tcPr>
            <w:tcW w:w="0" w:type="auto"/>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$118,500</w:t>
            </w:r>
          </w:p>
        </w:tc>
        <w:tc>
          <w:tcPr>
            <w:tcW w:w="648" w:type="pct"/>
            <w:vAlign w:val="center"/>
            <w:hideMark/>
          </w:tcPr>
          <w:p w:rsidR="00023445" w:rsidRPr="00023445" w:rsidRDefault="00023445" w:rsidP="00023445">
            <w:pPr>
              <w:ind w:left="0" w:firstLine="0"/>
              <w:jc w:val="right"/>
              <w:rPr>
                <w:rFonts w:ascii="Tahoma" w:eastAsia="Times New Roman" w:hAnsi="Tahoma" w:cs="Tahoma"/>
                <w:color w:val="333333"/>
                <w:sz w:val="24"/>
                <w:szCs w:val="24"/>
              </w:rPr>
            </w:pPr>
            <w:r w:rsidRPr="00023445">
              <w:rPr>
                <w:rFonts w:ascii="Tahoma" w:eastAsia="Times New Roman" w:hAnsi="Tahoma" w:cs="Tahoma"/>
                <w:color w:val="333333"/>
                <w:sz w:val="24"/>
                <w:szCs w:val="24"/>
              </w:rPr>
              <w:t>$118,500</w:t>
            </w:r>
          </w:p>
        </w:tc>
      </w:tr>
      <w:tr w:rsidR="00023445" w:rsidRPr="00023445" w:rsidTr="00023445">
        <w:trPr>
          <w:tblCellSpacing w:w="15" w:type="dxa"/>
        </w:trPr>
        <w:tc>
          <w:tcPr>
            <w:tcW w:w="0" w:type="auto"/>
            <w:vAlign w:val="center"/>
            <w:hideMark/>
          </w:tcPr>
          <w:p w:rsidR="00023445" w:rsidRPr="00023445" w:rsidRDefault="00023445" w:rsidP="00023445">
            <w:pPr>
              <w:ind w:left="0" w:firstLine="0"/>
              <w:jc w:val="left"/>
              <w:rPr>
                <w:rFonts w:ascii="Tahoma" w:eastAsia="Times New Roman" w:hAnsi="Tahoma" w:cs="Tahoma"/>
                <w:color w:val="333333"/>
                <w:sz w:val="24"/>
                <w:szCs w:val="24"/>
              </w:rPr>
            </w:pPr>
          </w:p>
        </w:tc>
        <w:tc>
          <w:tcPr>
            <w:tcW w:w="0" w:type="auto"/>
            <w:vAlign w:val="center"/>
            <w:hideMark/>
          </w:tcPr>
          <w:p w:rsidR="00023445" w:rsidRPr="00023445" w:rsidRDefault="00023445" w:rsidP="00023445">
            <w:pPr>
              <w:ind w:left="0" w:firstLine="0"/>
              <w:jc w:val="left"/>
              <w:rPr>
                <w:rFonts w:ascii="Times New Roman" w:eastAsia="Times New Roman" w:hAnsi="Times New Roman" w:cs="Times New Roman"/>
                <w:sz w:val="20"/>
                <w:szCs w:val="20"/>
              </w:rPr>
            </w:pPr>
          </w:p>
        </w:tc>
        <w:tc>
          <w:tcPr>
            <w:tcW w:w="648" w:type="pct"/>
            <w:vAlign w:val="center"/>
            <w:hideMark/>
          </w:tcPr>
          <w:p w:rsidR="00023445" w:rsidRPr="00023445" w:rsidRDefault="00023445" w:rsidP="00023445">
            <w:pPr>
              <w:ind w:left="0" w:firstLine="0"/>
              <w:jc w:val="left"/>
              <w:rPr>
                <w:rFonts w:ascii="Times New Roman" w:eastAsia="Times New Roman" w:hAnsi="Times New Roman" w:cs="Times New Roman"/>
                <w:sz w:val="20"/>
                <w:szCs w:val="20"/>
              </w:rPr>
            </w:pPr>
          </w:p>
        </w:tc>
      </w:tr>
    </w:tbl>
    <w:p w:rsidR="008B1A8B" w:rsidRDefault="008B1A8B"/>
    <w:sectPr w:rsidR="008B1A8B" w:rsidSect="008B1A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6F" w:rsidRDefault="005C026F" w:rsidP="00023445">
      <w:r>
        <w:separator/>
      </w:r>
    </w:p>
  </w:endnote>
  <w:endnote w:type="continuationSeparator" w:id="0">
    <w:p w:rsidR="005C026F" w:rsidRDefault="005C026F" w:rsidP="00023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6F" w:rsidRDefault="005C026F" w:rsidP="00023445">
      <w:r>
        <w:separator/>
      </w:r>
    </w:p>
  </w:footnote>
  <w:footnote w:type="continuationSeparator" w:id="0">
    <w:p w:rsidR="005C026F" w:rsidRDefault="005C026F" w:rsidP="00023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3445"/>
    <w:rsid w:val="00023445"/>
    <w:rsid w:val="003D7AC5"/>
    <w:rsid w:val="00444EB2"/>
    <w:rsid w:val="00582AF4"/>
    <w:rsid w:val="005C026F"/>
    <w:rsid w:val="006B331A"/>
    <w:rsid w:val="008B1A8B"/>
    <w:rsid w:val="00A56788"/>
    <w:rsid w:val="00A913F6"/>
    <w:rsid w:val="00D1458D"/>
    <w:rsid w:val="00DD6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445"/>
    <w:rPr>
      <w:color w:val="B22222"/>
      <w:u w:val="single"/>
    </w:rPr>
  </w:style>
  <w:style w:type="paragraph" w:styleId="Header">
    <w:name w:val="header"/>
    <w:basedOn w:val="Normal"/>
    <w:link w:val="HeaderChar"/>
    <w:uiPriority w:val="99"/>
    <w:semiHidden/>
    <w:unhideWhenUsed/>
    <w:rsid w:val="00023445"/>
    <w:pPr>
      <w:tabs>
        <w:tab w:val="center" w:pos="4680"/>
        <w:tab w:val="right" w:pos="9360"/>
      </w:tabs>
    </w:pPr>
  </w:style>
  <w:style w:type="character" w:customStyle="1" w:styleId="HeaderChar">
    <w:name w:val="Header Char"/>
    <w:basedOn w:val="DefaultParagraphFont"/>
    <w:link w:val="Header"/>
    <w:uiPriority w:val="99"/>
    <w:semiHidden/>
    <w:rsid w:val="00023445"/>
  </w:style>
  <w:style w:type="paragraph" w:styleId="Footer">
    <w:name w:val="footer"/>
    <w:basedOn w:val="Normal"/>
    <w:link w:val="FooterChar"/>
    <w:uiPriority w:val="99"/>
    <w:semiHidden/>
    <w:unhideWhenUsed/>
    <w:rsid w:val="00023445"/>
    <w:pPr>
      <w:tabs>
        <w:tab w:val="center" w:pos="4680"/>
        <w:tab w:val="right" w:pos="9360"/>
      </w:tabs>
    </w:pPr>
  </w:style>
  <w:style w:type="character" w:customStyle="1" w:styleId="FooterChar">
    <w:name w:val="Footer Char"/>
    <w:basedOn w:val="DefaultParagraphFont"/>
    <w:link w:val="Footer"/>
    <w:uiPriority w:val="99"/>
    <w:semiHidden/>
    <w:rsid w:val="00023445"/>
  </w:style>
  <w:style w:type="paragraph" w:styleId="Title">
    <w:name w:val="Title"/>
    <w:basedOn w:val="Normal"/>
    <w:link w:val="TitleChar"/>
    <w:qFormat/>
    <w:rsid w:val="006B331A"/>
    <w:pPr>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B331A"/>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6B331A"/>
    <w:pPr>
      <w:ind w:left="0"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B33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527956">
      <w:bodyDiv w:val="1"/>
      <w:marLeft w:val="0"/>
      <w:marRight w:val="0"/>
      <w:marTop w:val="0"/>
      <w:marBottom w:val="0"/>
      <w:divBdr>
        <w:top w:val="none" w:sz="0" w:space="0" w:color="auto"/>
        <w:left w:val="none" w:sz="0" w:space="0" w:color="auto"/>
        <w:bottom w:val="none" w:sz="0" w:space="0" w:color="auto"/>
        <w:right w:val="none" w:sz="0" w:space="0" w:color="auto"/>
      </w:divBdr>
      <w:divsChild>
        <w:div w:id="840897586">
          <w:marLeft w:val="0"/>
          <w:marRight w:val="0"/>
          <w:marTop w:val="0"/>
          <w:marBottom w:val="0"/>
          <w:divBdr>
            <w:top w:val="none" w:sz="0" w:space="0" w:color="auto"/>
            <w:left w:val="none" w:sz="0" w:space="0" w:color="auto"/>
            <w:bottom w:val="none" w:sz="0" w:space="0" w:color="auto"/>
            <w:right w:val="none" w:sz="0" w:space="0" w:color="auto"/>
          </w:divBdr>
          <w:divsChild>
            <w:div w:id="1930500553">
              <w:marLeft w:val="0"/>
              <w:marRight w:val="0"/>
              <w:marTop w:val="0"/>
              <w:marBottom w:val="0"/>
              <w:divBdr>
                <w:top w:val="none" w:sz="0" w:space="0" w:color="auto"/>
                <w:left w:val="none" w:sz="0" w:space="0" w:color="auto"/>
                <w:bottom w:val="none" w:sz="0" w:space="0" w:color="auto"/>
                <w:right w:val="none" w:sz="0" w:space="0" w:color="auto"/>
              </w:divBdr>
              <w:divsChild>
                <w:div w:id="1245260823">
                  <w:marLeft w:val="0"/>
                  <w:marRight w:val="0"/>
                  <w:marTop w:val="0"/>
                  <w:marBottom w:val="0"/>
                  <w:divBdr>
                    <w:top w:val="none" w:sz="0" w:space="0" w:color="auto"/>
                    <w:left w:val="none" w:sz="0" w:space="0" w:color="auto"/>
                    <w:bottom w:val="none" w:sz="0" w:space="0" w:color="auto"/>
                    <w:right w:val="none" w:sz="0" w:space="0" w:color="auto"/>
                  </w:divBdr>
                  <w:divsChild>
                    <w:div w:id="594900735">
                      <w:marLeft w:val="-3720"/>
                      <w:marRight w:val="0"/>
                      <w:marTop w:val="0"/>
                      <w:marBottom w:val="0"/>
                      <w:divBdr>
                        <w:top w:val="none" w:sz="0" w:space="0" w:color="auto"/>
                        <w:left w:val="none" w:sz="0" w:space="0" w:color="auto"/>
                        <w:bottom w:val="none" w:sz="0" w:space="0" w:color="auto"/>
                        <w:right w:val="none" w:sz="0" w:space="0" w:color="auto"/>
                      </w:divBdr>
                      <w:divsChild>
                        <w:div w:id="1821342112">
                          <w:marLeft w:val="3720"/>
                          <w:marRight w:val="0"/>
                          <w:marTop w:val="0"/>
                          <w:marBottom w:val="0"/>
                          <w:divBdr>
                            <w:top w:val="none" w:sz="0" w:space="0" w:color="auto"/>
                            <w:left w:val="none" w:sz="0" w:space="0" w:color="auto"/>
                            <w:bottom w:val="none" w:sz="0" w:space="0" w:color="auto"/>
                            <w:right w:val="none" w:sz="0" w:space="0" w:color="auto"/>
                          </w:divBdr>
                          <w:divsChild>
                            <w:div w:id="1448349927">
                              <w:marLeft w:val="0"/>
                              <w:marRight w:val="0"/>
                              <w:marTop w:val="0"/>
                              <w:marBottom w:val="0"/>
                              <w:divBdr>
                                <w:top w:val="none" w:sz="0" w:space="0" w:color="auto"/>
                                <w:left w:val="none" w:sz="0" w:space="0" w:color="auto"/>
                                <w:bottom w:val="none" w:sz="0" w:space="0" w:color="auto"/>
                                <w:right w:val="none" w:sz="0" w:space="0" w:color="auto"/>
                              </w:divBdr>
                              <w:divsChild>
                                <w:div w:id="1295869428">
                                  <w:marLeft w:val="0"/>
                                  <w:marRight w:val="0"/>
                                  <w:marTop w:val="0"/>
                                  <w:marBottom w:val="0"/>
                                  <w:divBdr>
                                    <w:top w:val="none" w:sz="0" w:space="0" w:color="auto"/>
                                    <w:left w:val="none" w:sz="0" w:space="0" w:color="auto"/>
                                    <w:bottom w:val="none" w:sz="0" w:space="0" w:color="auto"/>
                                    <w:right w:val="none" w:sz="0" w:space="0" w:color="auto"/>
                                  </w:divBdr>
                                  <w:divsChild>
                                    <w:div w:id="67197767">
                                      <w:marLeft w:val="0"/>
                                      <w:marRight w:val="0"/>
                                      <w:marTop w:val="0"/>
                                      <w:marBottom w:val="0"/>
                                      <w:divBdr>
                                        <w:top w:val="none" w:sz="0" w:space="0" w:color="auto"/>
                                        <w:left w:val="none" w:sz="0" w:space="0" w:color="auto"/>
                                        <w:bottom w:val="none" w:sz="0" w:space="0" w:color="auto"/>
                                        <w:right w:val="none" w:sz="0" w:space="0" w:color="auto"/>
                                      </w:divBdr>
                                      <w:divsChild>
                                        <w:div w:id="1991515665">
                                          <w:marLeft w:val="0"/>
                                          <w:marRight w:val="0"/>
                                          <w:marTop w:val="0"/>
                                          <w:marBottom w:val="0"/>
                                          <w:divBdr>
                                            <w:top w:val="none" w:sz="0" w:space="0" w:color="auto"/>
                                            <w:left w:val="none" w:sz="0" w:space="0" w:color="auto"/>
                                            <w:bottom w:val="none" w:sz="0" w:space="0" w:color="auto"/>
                                            <w:right w:val="none" w:sz="0" w:space="0" w:color="auto"/>
                                          </w:divBdr>
                                          <w:divsChild>
                                            <w:div w:id="18980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8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Amherst1</dc:creator>
  <cp:lastModifiedBy>Amherst1</cp:lastModifiedBy>
  <cp:revision>4</cp:revision>
  <dcterms:created xsi:type="dcterms:W3CDTF">2015-11-09T21:24:00Z</dcterms:created>
  <dcterms:modified xsi:type="dcterms:W3CDTF">2015-11-10T19:19:00Z</dcterms:modified>
</cp:coreProperties>
</file>